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F4" w:rsidRDefault="001E60A3">
      <w:pPr>
        <w:pStyle w:val="BodyText"/>
        <w:ind w:left="100"/>
        <w:rPr>
          <w:rFonts w:ascii="Times New Roman"/>
          <w:sz w:val="20"/>
        </w:rPr>
      </w:pPr>
      <w:bookmarkStart w:id="0" w:name="_GoBack"/>
      <w:bookmarkEnd w:id="0"/>
      <w:r>
        <w:rPr>
          <w:rFonts w:ascii="Times New Roman"/>
          <w:noProof/>
          <w:sz w:val="20"/>
          <w:lang w:bidi="ar-SA"/>
        </w:rPr>
        <w:drawing>
          <wp:inline distT="0" distB="0" distL="0" distR="0">
            <wp:extent cx="3793476" cy="9464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93476" cy="946403"/>
                    </a:xfrm>
                    <a:prstGeom prst="rect">
                      <a:avLst/>
                    </a:prstGeom>
                  </pic:spPr>
                </pic:pic>
              </a:graphicData>
            </a:graphic>
          </wp:inline>
        </w:drawing>
      </w:r>
    </w:p>
    <w:p w:rsidR="00111BF4" w:rsidRDefault="00890DA5">
      <w:pPr>
        <w:pStyle w:val="BodyText"/>
        <w:ind w:right="115"/>
        <w:jc w:val="right"/>
      </w:pPr>
      <w:r>
        <w:t>May 24, 2018</w:t>
      </w:r>
    </w:p>
    <w:p w:rsidR="00111BF4" w:rsidRDefault="00111BF4">
      <w:pPr>
        <w:pStyle w:val="BodyText"/>
        <w:rPr>
          <w:sz w:val="20"/>
        </w:rPr>
      </w:pPr>
    </w:p>
    <w:p w:rsidR="00111BF4" w:rsidRDefault="00111BF4">
      <w:pPr>
        <w:pStyle w:val="BodyText"/>
        <w:spacing w:before="6"/>
        <w:rPr>
          <w:sz w:val="18"/>
        </w:rPr>
      </w:pPr>
    </w:p>
    <w:p w:rsidR="00111BF4" w:rsidRDefault="001E60A3">
      <w:pPr>
        <w:pStyle w:val="Heading1"/>
        <w:spacing w:before="99" w:line="232" w:lineRule="auto"/>
        <w:ind w:left="4154" w:right="4170"/>
        <w:jc w:val="center"/>
      </w:pPr>
      <w:r>
        <w:t>Memo of Support A.</w:t>
      </w:r>
      <w:r w:rsidR="00890DA5">
        <w:t>00</w:t>
      </w:r>
      <w:r>
        <w:t>5</w:t>
      </w:r>
      <w:r w:rsidR="00890DA5">
        <w:t>63/S.04392</w:t>
      </w:r>
    </w:p>
    <w:p w:rsidR="00111BF4" w:rsidRDefault="00111BF4">
      <w:pPr>
        <w:pStyle w:val="BodyText"/>
        <w:spacing w:before="6"/>
        <w:rPr>
          <w:b/>
          <w:sz w:val="23"/>
        </w:rPr>
      </w:pPr>
    </w:p>
    <w:p w:rsidR="00111BF4" w:rsidRPr="00890DA5" w:rsidRDefault="001E60A3">
      <w:pPr>
        <w:spacing w:before="1" w:line="235" w:lineRule="auto"/>
        <w:ind w:left="100" w:right="492"/>
        <w:jc w:val="both"/>
        <w:rPr>
          <w:rFonts w:asciiTheme="minorHAnsi" w:hAnsiTheme="minorHAnsi" w:cstheme="minorHAnsi"/>
          <w:b/>
          <w:sz w:val="24"/>
        </w:rPr>
      </w:pPr>
      <w:r w:rsidRPr="00890DA5">
        <w:rPr>
          <w:rFonts w:asciiTheme="minorHAnsi" w:hAnsiTheme="minorHAnsi" w:cstheme="minorHAnsi"/>
          <w:sz w:val="24"/>
        </w:rPr>
        <w:t xml:space="preserve">The NYS </w:t>
      </w:r>
      <w:r w:rsidRPr="00890DA5">
        <w:rPr>
          <w:rFonts w:asciiTheme="minorHAnsi" w:hAnsiTheme="minorHAnsi" w:cstheme="minorHAnsi"/>
          <w:spacing w:val="-3"/>
          <w:sz w:val="24"/>
        </w:rPr>
        <w:t>AAP</w:t>
      </w:r>
      <w:r w:rsidR="00890DA5">
        <w:rPr>
          <w:rFonts w:asciiTheme="minorHAnsi" w:hAnsiTheme="minorHAnsi" w:cstheme="minorHAnsi"/>
          <w:spacing w:val="-3"/>
          <w:sz w:val="24"/>
        </w:rPr>
        <w:t>, representing almost 5,000 pediatricians across the state</w:t>
      </w:r>
      <w:r w:rsidRPr="00890DA5">
        <w:rPr>
          <w:rFonts w:asciiTheme="minorHAnsi" w:hAnsiTheme="minorHAnsi" w:cstheme="minorHAnsi"/>
          <w:sz w:val="24"/>
        </w:rPr>
        <w:t>enthusiastically</w:t>
      </w:r>
      <w:r w:rsidR="00890DA5" w:rsidRPr="00890DA5">
        <w:rPr>
          <w:rFonts w:asciiTheme="minorHAnsi" w:hAnsiTheme="minorHAnsi" w:cstheme="minorHAnsi"/>
          <w:sz w:val="24"/>
        </w:rPr>
        <w:t xml:space="preserve"> supports A.</w:t>
      </w:r>
      <w:r w:rsidR="00890DA5">
        <w:rPr>
          <w:rFonts w:asciiTheme="minorHAnsi" w:hAnsiTheme="minorHAnsi" w:cstheme="minorHAnsi"/>
          <w:sz w:val="24"/>
        </w:rPr>
        <w:t>00</w:t>
      </w:r>
      <w:r w:rsidR="00890DA5" w:rsidRPr="00890DA5">
        <w:rPr>
          <w:rFonts w:asciiTheme="minorHAnsi" w:hAnsiTheme="minorHAnsi" w:cstheme="minorHAnsi"/>
          <w:sz w:val="24"/>
        </w:rPr>
        <w:t>5</w:t>
      </w:r>
      <w:r w:rsidR="00890DA5">
        <w:rPr>
          <w:rFonts w:asciiTheme="minorHAnsi" w:hAnsiTheme="minorHAnsi" w:cstheme="minorHAnsi"/>
          <w:sz w:val="24"/>
        </w:rPr>
        <w:t>6</w:t>
      </w:r>
      <w:r w:rsidR="00890DA5" w:rsidRPr="00890DA5">
        <w:rPr>
          <w:rFonts w:asciiTheme="minorHAnsi" w:hAnsiTheme="minorHAnsi" w:cstheme="minorHAnsi"/>
          <w:sz w:val="24"/>
        </w:rPr>
        <w:t>3/S</w:t>
      </w:r>
      <w:r w:rsidR="00890DA5">
        <w:rPr>
          <w:rFonts w:asciiTheme="minorHAnsi" w:hAnsiTheme="minorHAnsi" w:cstheme="minorHAnsi"/>
          <w:sz w:val="24"/>
        </w:rPr>
        <w:t>.04392</w:t>
      </w:r>
      <w:r w:rsidR="00890DA5" w:rsidRPr="00890DA5">
        <w:rPr>
          <w:rFonts w:asciiTheme="minorHAnsi" w:hAnsiTheme="minorHAnsi" w:cstheme="minorHAnsi"/>
          <w:sz w:val="24"/>
        </w:rPr>
        <w:t xml:space="preserve"> as a focu</w:t>
      </w:r>
      <w:r w:rsidR="00890DA5">
        <w:rPr>
          <w:rFonts w:asciiTheme="minorHAnsi" w:hAnsiTheme="minorHAnsi" w:cstheme="minorHAnsi"/>
          <w:sz w:val="24"/>
        </w:rPr>
        <w:t>s</w:t>
      </w:r>
      <w:r w:rsidR="00890DA5" w:rsidRPr="00890DA5">
        <w:rPr>
          <w:rFonts w:asciiTheme="minorHAnsi" w:hAnsiTheme="minorHAnsi" w:cstheme="minorHAnsi"/>
          <w:sz w:val="24"/>
        </w:rPr>
        <w:t>ed child safety</w:t>
      </w:r>
      <w:r w:rsidRPr="00890DA5">
        <w:rPr>
          <w:rFonts w:asciiTheme="minorHAnsi" w:hAnsiTheme="minorHAnsi" w:cstheme="minorHAnsi"/>
          <w:sz w:val="24"/>
        </w:rPr>
        <w:t xml:space="preserve"> component of NYS’</w:t>
      </w:r>
      <w:r w:rsidR="00890DA5" w:rsidRPr="00890DA5">
        <w:rPr>
          <w:rFonts w:asciiTheme="minorHAnsi" w:hAnsiTheme="minorHAnsi" w:cstheme="minorHAnsi"/>
          <w:sz w:val="24"/>
        </w:rPr>
        <w:t xml:space="preserve">s gun control efforts. </w:t>
      </w:r>
      <w:r>
        <w:rPr>
          <w:rFonts w:asciiTheme="minorHAnsi" w:hAnsiTheme="minorHAnsi" w:cstheme="minorHAnsi"/>
          <w:sz w:val="24"/>
        </w:rPr>
        <w:t>On</w:t>
      </w:r>
      <w:r w:rsidR="00890DA5">
        <w:rPr>
          <w:rFonts w:asciiTheme="minorHAnsi" w:hAnsiTheme="minorHAnsi" w:cstheme="minorHAnsi"/>
          <w:sz w:val="24"/>
        </w:rPr>
        <w:t>going e</w:t>
      </w:r>
      <w:r w:rsidR="00890DA5" w:rsidRPr="00890DA5">
        <w:rPr>
          <w:rFonts w:asciiTheme="minorHAnsi" w:hAnsiTheme="minorHAnsi" w:cstheme="minorHAnsi"/>
          <w:sz w:val="24"/>
        </w:rPr>
        <w:t>fforts to strengthen and expand</w:t>
      </w:r>
      <w:r w:rsidRPr="00890DA5">
        <w:rPr>
          <w:rFonts w:asciiTheme="minorHAnsi" w:hAnsiTheme="minorHAnsi" w:cstheme="minorHAnsi"/>
          <w:sz w:val="24"/>
        </w:rPr>
        <w:t xml:space="preserve"> the SAFE </w:t>
      </w:r>
      <w:proofErr w:type="gramStart"/>
      <w:r w:rsidRPr="00890DA5">
        <w:rPr>
          <w:rFonts w:asciiTheme="minorHAnsi" w:hAnsiTheme="minorHAnsi" w:cstheme="minorHAnsi"/>
          <w:sz w:val="24"/>
        </w:rPr>
        <w:t>Act</w:t>
      </w:r>
      <w:r w:rsidR="00890DA5">
        <w:rPr>
          <w:rFonts w:asciiTheme="minorHAnsi" w:hAnsiTheme="minorHAnsi" w:cstheme="minorHAnsi"/>
          <w:sz w:val="24"/>
        </w:rPr>
        <w:t>,</w:t>
      </w:r>
      <w:proofErr w:type="gramEnd"/>
      <w:r>
        <w:rPr>
          <w:rFonts w:asciiTheme="minorHAnsi" w:hAnsiTheme="minorHAnsi" w:cstheme="minorHAnsi"/>
          <w:sz w:val="24"/>
        </w:rPr>
        <w:t xml:space="preserve"> have</w:t>
      </w:r>
      <w:r w:rsidRPr="00890DA5">
        <w:rPr>
          <w:rFonts w:asciiTheme="minorHAnsi" w:hAnsiTheme="minorHAnsi" w:cstheme="minorHAnsi"/>
          <w:sz w:val="24"/>
        </w:rPr>
        <w:t xml:space="preserve"> already gone a long way to help protect children and all New Yorkers from gun violence</w:t>
      </w:r>
      <w:r>
        <w:rPr>
          <w:rFonts w:asciiTheme="minorHAnsi" w:hAnsiTheme="minorHAnsi" w:cstheme="minorHAnsi"/>
          <w:sz w:val="24"/>
        </w:rPr>
        <w:t xml:space="preserve"> and</w:t>
      </w:r>
      <w:r w:rsidR="00890DA5" w:rsidRPr="00890DA5">
        <w:rPr>
          <w:rFonts w:asciiTheme="minorHAnsi" w:hAnsiTheme="minorHAnsi" w:cstheme="minorHAnsi"/>
          <w:sz w:val="24"/>
        </w:rPr>
        <w:t xml:space="preserve"> continue to improve our ability to help keep children and families safe from gun violence</w:t>
      </w:r>
      <w:r w:rsidRPr="00890DA5">
        <w:rPr>
          <w:rFonts w:asciiTheme="minorHAnsi" w:hAnsiTheme="minorHAnsi" w:cstheme="minorHAnsi"/>
          <w:b/>
          <w:sz w:val="24"/>
        </w:rPr>
        <w:t>.</w:t>
      </w:r>
    </w:p>
    <w:p w:rsidR="00111BF4" w:rsidRPr="00890DA5" w:rsidRDefault="00111BF4">
      <w:pPr>
        <w:pStyle w:val="BodyText"/>
        <w:spacing w:before="4"/>
        <w:rPr>
          <w:rFonts w:asciiTheme="minorHAnsi" w:hAnsiTheme="minorHAnsi" w:cstheme="minorHAnsi"/>
          <w:b/>
          <w:sz w:val="23"/>
        </w:rPr>
      </w:pPr>
    </w:p>
    <w:p w:rsidR="00111BF4" w:rsidRPr="00890DA5" w:rsidRDefault="001E60A3">
      <w:pPr>
        <w:pStyle w:val="BodyText"/>
        <w:spacing w:line="235" w:lineRule="auto"/>
        <w:ind w:left="100" w:right="107"/>
        <w:rPr>
          <w:rFonts w:asciiTheme="minorHAnsi" w:hAnsiTheme="minorHAnsi" w:cstheme="minorHAnsi"/>
        </w:rPr>
      </w:pPr>
      <w:r w:rsidRPr="00890DA5">
        <w:rPr>
          <w:rFonts w:asciiTheme="minorHAnsi" w:hAnsiTheme="minorHAnsi" w:cstheme="minorHAnsi"/>
        </w:rPr>
        <w:t xml:space="preserve">But </w:t>
      </w:r>
      <w:r>
        <w:rPr>
          <w:rFonts w:asciiTheme="minorHAnsi" w:hAnsiTheme="minorHAnsi" w:cstheme="minorHAnsi"/>
        </w:rPr>
        <w:t xml:space="preserve">the </w:t>
      </w:r>
      <w:r w:rsidRPr="00890DA5">
        <w:rPr>
          <w:rFonts w:asciiTheme="minorHAnsi" w:hAnsiTheme="minorHAnsi" w:cstheme="minorHAnsi"/>
        </w:rPr>
        <w:t xml:space="preserve">SAFE </w:t>
      </w:r>
      <w:r>
        <w:rPr>
          <w:rFonts w:asciiTheme="minorHAnsi" w:hAnsiTheme="minorHAnsi" w:cstheme="minorHAnsi"/>
        </w:rPr>
        <w:t>Act and its various expansions have</w:t>
      </w:r>
      <w:r w:rsidRPr="00890DA5">
        <w:rPr>
          <w:rFonts w:asciiTheme="minorHAnsi" w:hAnsiTheme="minorHAnsi" w:cstheme="minorHAnsi"/>
        </w:rPr>
        <w:t xml:space="preserve"> not go</w:t>
      </w:r>
      <w:r>
        <w:rPr>
          <w:rFonts w:asciiTheme="minorHAnsi" w:hAnsiTheme="minorHAnsi" w:cstheme="minorHAnsi"/>
        </w:rPr>
        <w:t>ne</w:t>
      </w:r>
      <w:r w:rsidRPr="00890DA5">
        <w:rPr>
          <w:rFonts w:asciiTheme="minorHAnsi" w:hAnsiTheme="minorHAnsi" w:cstheme="minorHAnsi"/>
        </w:rPr>
        <w:t xml:space="preserve"> far enough in delineating Safe Storage as a key issue in r</w:t>
      </w:r>
      <w:r>
        <w:rPr>
          <w:rFonts w:asciiTheme="minorHAnsi" w:hAnsiTheme="minorHAnsi" w:cstheme="minorHAnsi"/>
        </w:rPr>
        <w:t>esponsible gun ownership. Safe S</w:t>
      </w:r>
      <w:r w:rsidRPr="00890DA5">
        <w:rPr>
          <w:rFonts w:asciiTheme="minorHAnsi" w:hAnsiTheme="minorHAnsi" w:cstheme="minorHAnsi"/>
        </w:rPr>
        <w:t>torage requirements, when implemented with public education and law enforcement supports, have been proven to reduce children’s deaths and injury from firearms. They are an important second level of gun violence prevention. This legislation clearly defines safe storage requirements and outlines consequences for not complying with those requirements.</w:t>
      </w:r>
    </w:p>
    <w:p w:rsidR="00111BF4" w:rsidRPr="00890DA5" w:rsidRDefault="00111BF4">
      <w:pPr>
        <w:pStyle w:val="BodyText"/>
        <w:spacing w:before="4"/>
        <w:rPr>
          <w:rFonts w:asciiTheme="minorHAnsi" w:hAnsiTheme="minorHAnsi" w:cstheme="minorHAnsi"/>
          <w:sz w:val="23"/>
        </w:rPr>
      </w:pPr>
    </w:p>
    <w:p w:rsidR="00111BF4" w:rsidRPr="00890DA5" w:rsidRDefault="001E60A3">
      <w:pPr>
        <w:pStyle w:val="BodyText"/>
        <w:spacing w:line="235" w:lineRule="auto"/>
        <w:ind w:left="100" w:right="107"/>
        <w:rPr>
          <w:rFonts w:asciiTheme="minorHAnsi" w:hAnsiTheme="minorHAnsi" w:cstheme="minorHAnsi"/>
        </w:rPr>
      </w:pPr>
      <w:r w:rsidRPr="00890DA5">
        <w:rPr>
          <w:rFonts w:asciiTheme="minorHAnsi" w:hAnsiTheme="minorHAnsi" w:cstheme="minorHAnsi"/>
        </w:rPr>
        <w:t xml:space="preserve">Studies indicate that the presence of an available firearm in the house increases teen suicide. </w:t>
      </w:r>
      <w:r>
        <w:rPr>
          <w:rFonts w:asciiTheme="minorHAnsi" w:hAnsiTheme="minorHAnsi" w:cstheme="minorHAnsi"/>
        </w:rPr>
        <w:t>A 2018</w:t>
      </w:r>
      <w:r w:rsidR="00890DA5">
        <w:rPr>
          <w:rFonts w:asciiTheme="minorHAnsi" w:hAnsiTheme="minorHAnsi" w:cstheme="minorHAnsi"/>
        </w:rPr>
        <w:t xml:space="preserve"> Rutgers University study once again proved that teaching young children about gun safety and not to touch guns, simply does not work. </w:t>
      </w:r>
      <w:r>
        <w:rPr>
          <w:rFonts w:asciiTheme="minorHAnsi" w:hAnsiTheme="minorHAnsi" w:cstheme="minorHAnsi"/>
        </w:rPr>
        <w:t>W</w:t>
      </w:r>
      <w:r w:rsidR="00890DA5">
        <w:rPr>
          <w:rFonts w:asciiTheme="minorHAnsi" w:hAnsiTheme="minorHAnsi" w:cstheme="minorHAnsi"/>
        </w:rPr>
        <w:t xml:space="preserve">e do know that the recent school shooter in Santa Fe, Texas took the unsecured guns from his home to kill students and teachers. </w:t>
      </w:r>
      <w:r w:rsidRPr="00890DA5">
        <w:rPr>
          <w:rFonts w:asciiTheme="minorHAnsi" w:hAnsiTheme="minorHAnsi" w:cstheme="minorHAnsi"/>
        </w:rPr>
        <w:t xml:space="preserve">We </w:t>
      </w:r>
      <w:r w:rsidR="00890DA5">
        <w:rPr>
          <w:rFonts w:asciiTheme="minorHAnsi" w:hAnsiTheme="minorHAnsi" w:cstheme="minorHAnsi"/>
        </w:rPr>
        <w:t>need to help those families who insist on having guns in their homes</w:t>
      </w:r>
      <w:r w:rsidR="00A70DE8">
        <w:rPr>
          <w:rFonts w:asciiTheme="minorHAnsi" w:hAnsiTheme="minorHAnsi" w:cstheme="minorHAnsi"/>
        </w:rPr>
        <w:t xml:space="preserve"> protect their children and teens from unanticipated tragedies with a requirement for Safe Storage.</w:t>
      </w:r>
    </w:p>
    <w:p w:rsidR="00111BF4" w:rsidRPr="00890DA5" w:rsidRDefault="00111BF4">
      <w:pPr>
        <w:pStyle w:val="BodyText"/>
        <w:spacing w:before="4"/>
        <w:rPr>
          <w:rFonts w:asciiTheme="minorHAnsi" w:hAnsiTheme="minorHAnsi" w:cstheme="minorHAnsi"/>
          <w:sz w:val="23"/>
        </w:rPr>
      </w:pPr>
    </w:p>
    <w:p w:rsidR="00111BF4" w:rsidRPr="00890DA5" w:rsidRDefault="001E60A3">
      <w:pPr>
        <w:pStyle w:val="BodyText"/>
        <w:spacing w:line="235" w:lineRule="auto"/>
        <w:ind w:left="100" w:right="148"/>
        <w:rPr>
          <w:rFonts w:asciiTheme="minorHAnsi" w:hAnsiTheme="minorHAnsi" w:cstheme="minorHAnsi"/>
        </w:rPr>
      </w:pPr>
      <w:r w:rsidRPr="00890DA5">
        <w:rPr>
          <w:rFonts w:asciiTheme="minorHAnsi" w:hAnsiTheme="minorHAnsi" w:cstheme="minorHAnsi"/>
        </w:rPr>
        <w:t xml:space="preserve">Many of these </w:t>
      </w:r>
      <w:r w:rsidR="00A70DE8">
        <w:rPr>
          <w:rFonts w:asciiTheme="minorHAnsi" w:hAnsiTheme="minorHAnsi" w:cstheme="minorHAnsi"/>
        </w:rPr>
        <w:t>legally owned and licensed firearms are</w:t>
      </w:r>
      <w:r w:rsidRPr="00890DA5">
        <w:rPr>
          <w:rFonts w:asciiTheme="minorHAnsi" w:hAnsiTheme="minorHAnsi" w:cstheme="minorHAnsi"/>
        </w:rPr>
        <w:t xml:space="preserve"> in homes, available and </w:t>
      </w:r>
      <w:proofErr w:type="spellStart"/>
      <w:r w:rsidRPr="00890DA5">
        <w:rPr>
          <w:rFonts w:asciiTheme="minorHAnsi" w:hAnsiTheme="minorHAnsi" w:cstheme="minorHAnsi"/>
        </w:rPr>
        <w:t>unlocked.</w:t>
      </w:r>
      <w:r w:rsidR="00592AB4" w:rsidRPr="001E60A3">
        <w:rPr>
          <w:rFonts w:asciiTheme="minorHAnsi" w:hAnsiTheme="minorHAnsi" w:cstheme="minorHAnsi"/>
          <w:b/>
        </w:rPr>
        <w:t>The</w:t>
      </w:r>
      <w:proofErr w:type="spellEnd"/>
      <w:r w:rsidR="00592AB4" w:rsidRPr="001E60A3">
        <w:rPr>
          <w:rFonts w:asciiTheme="minorHAnsi" w:hAnsiTheme="minorHAnsi" w:cstheme="minorHAnsi"/>
          <w:b/>
        </w:rPr>
        <w:t xml:space="preserve"> </w:t>
      </w:r>
      <w:proofErr w:type="spellStart"/>
      <w:r w:rsidR="00592AB4" w:rsidRPr="001E60A3">
        <w:rPr>
          <w:rFonts w:asciiTheme="minorHAnsi" w:hAnsiTheme="minorHAnsi" w:cstheme="minorHAnsi"/>
          <w:b/>
        </w:rPr>
        <w:t>Rutger’s</w:t>
      </w:r>
      <w:proofErr w:type="spellEnd"/>
      <w:r w:rsidR="00592AB4" w:rsidRPr="001E60A3">
        <w:rPr>
          <w:rFonts w:asciiTheme="minorHAnsi" w:hAnsiTheme="minorHAnsi" w:cstheme="minorHAnsi"/>
          <w:b/>
        </w:rPr>
        <w:t xml:space="preserve"> study also found </w:t>
      </w:r>
      <w:r w:rsidR="00592AB4" w:rsidRPr="001E60A3">
        <w:rPr>
          <w:rFonts w:asciiTheme="minorHAnsi" w:hAnsiTheme="minorHAnsi" w:cstheme="minorHAnsi"/>
          <w:b/>
          <w:color w:val="000000"/>
        </w:rPr>
        <w:t>that 85 percent of gun-owning parents did not practice safe gun storage and 72 percent believed their young children could differentiate a toy gun from a real gun, even though the research over the years has proved otherwise.</w:t>
      </w:r>
      <w:r w:rsidRPr="00890DA5">
        <w:rPr>
          <w:rFonts w:asciiTheme="minorHAnsi" w:hAnsiTheme="minorHAnsi" w:cstheme="minorHAnsi"/>
        </w:rPr>
        <w:t>The intent of th</w:t>
      </w:r>
      <w:r>
        <w:rPr>
          <w:rFonts w:asciiTheme="minorHAnsi" w:hAnsiTheme="minorHAnsi" w:cstheme="minorHAnsi"/>
        </w:rPr>
        <w:t>is legislation is to encourage Safe Firearm S</w:t>
      </w:r>
      <w:r w:rsidRPr="00890DA5">
        <w:rPr>
          <w:rFonts w:asciiTheme="minorHAnsi" w:hAnsiTheme="minorHAnsi" w:cstheme="minorHAnsi"/>
        </w:rPr>
        <w:t>torage before</w:t>
      </w:r>
      <w:r w:rsidR="00592AB4">
        <w:rPr>
          <w:rFonts w:asciiTheme="minorHAnsi" w:hAnsiTheme="minorHAnsi" w:cstheme="minorHAnsi"/>
        </w:rPr>
        <w:t xml:space="preserve"> tragic</w:t>
      </w:r>
      <w:r w:rsidRPr="00890DA5">
        <w:rPr>
          <w:rFonts w:asciiTheme="minorHAnsi" w:hAnsiTheme="minorHAnsi" w:cstheme="minorHAnsi"/>
        </w:rPr>
        <w:t xml:space="preserve"> incidents occur.</w:t>
      </w:r>
    </w:p>
    <w:p w:rsidR="00111BF4" w:rsidRPr="00890DA5" w:rsidRDefault="00111BF4">
      <w:pPr>
        <w:pStyle w:val="BodyText"/>
        <w:spacing w:before="2"/>
        <w:rPr>
          <w:rFonts w:asciiTheme="minorHAnsi" w:hAnsiTheme="minorHAnsi" w:cstheme="minorHAnsi"/>
          <w:sz w:val="23"/>
        </w:rPr>
      </w:pPr>
    </w:p>
    <w:p w:rsidR="00111BF4" w:rsidRPr="00890DA5" w:rsidRDefault="00592AB4">
      <w:pPr>
        <w:pStyle w:val="BodyText"/>
        <w:spacing w:line="235" w:lineRule="auto"/>
        <w:ind w:left="100" w:right="107"/>
        <w:rPr>
          <w:rFonts w:asciiTheme="minorHAnsi" w:hAnsiTheme="minorHAnsi" w:cstheme="minorHAnsi"/>
        </w:rPr>
      </w:pPr>
      <w:r>
        <w:rPr>
          <w:rFonts w:asciiTheme="minorHAnsi" w:hAnsiTheme="minorHAnsi" w:cstheme="minorHAnsi"/>
        </w:rPr>
        <w:t>Finally, Safe S</w:t>
      </w:r>
      <w:r w:rsidR="001E60A3" w:rsidRPr="00890DA5">
        <w:rPr>
          <w:rFonts w:asciiTheme="minorHAnsi" w:hAnsiTheme="minorHAnsi" w:cstheme="minorHAnsi"/>
        </w:rPr>
        <w:t>torage laws work. Seventeen states, including Connecticut, New Jersey and Massachusetts, have passed these laws. Accidental firearm de</w:t>
      </w:r>
      <w:r w:rsidR="002B2587">
        <w:rPr>
          <w:rFonts w:asciiTheme="minorHAnsi" w:hAnsiTheme="minorHAnsi" w:cstheme="minorHAnsi"/>
        </w:rPr>
        <w:t>aths of children, including teen suicide were reduced 40</w:t>
      </w:r>
      <w:r w:rsidR="001E60A3" w:rsidRPr="00890DA5">
        <w:rPr>
          <w:rFonts w:asciiTheme="minorHAnsi" w:hAnsiTheme="minorHAnsi" w:cstheme="minorHAnsi"/>
        </w:rPr>
        <w:t>% in states with Child Access Prevention/Safe Gun S</w:t>
      </w:r>
      <w:r w:rsidR="002B2587">
        <w:rPr>
          <w:rFonts w:asciiTheme="minorHAnsi" w:hAnsiTheme="minorHAnsi" w:cstheme="minorHAnsi"/>
        </w:rPr>
        <w:t xml:space="preserve">torage (CAP) Laws, according to the </w:t>
      </w:r>
      <w:proofErr w:type="spellStart"/>
      <w:r w:rsidR="002B2587">
        <w:rPr>
          <w:rFonts w:asciiTheme="minorHAnsi" w:hAnsiTheme="minorHAnsi" w:cstheme="minorHAnsi"/>
        </w:rPr>
        <w:t>Giffords</w:t>
      </w:r>
      <w:proofErr w:type="spellEnd"/>
      <w:r w:rsidR="002B2587">
        <w:rPr>
          <w:rFonts w:asciiTheme="minorHAnsi" w:hAnsiTheme="minorHAnsi" w:cstheme="minorHAnsi"/>
        </w:rPr>
        <w:t xml:space="preserve"> Law Center</w:t>
      </w:r>
      <w:r w:rsidR="001E60A3" w:rsidRPr="00890DA5">
        <w:rPr>
          <w:rFonts w:asciiTheme="minorHAnsi" w:hAnsiTheme="minorHAnsi" w:cstheme="minorHAnsi"/>
        </w:rPr>
        <w:t>.</w:t>
      </w:r>
    </w:p>
    <w:p w:rsidR="00111BF4" w:rsidRPr="00890DA5" w:rsidRDefault="00111BF4">
      <w:pPr>
        <w:pStyle w:val="BodyText"/>
        <w:spacing w:before="3"/>
        <w:rPr>
          <w:rFonts w:asciiTheme="minorHAnsi" w:hAnsiTheme="minorHAnsi" w:cstheme="minorHAnsi"/>
          <w:sz w:val="23"/>
        </w:rPr>
      </w:pPr>
    </w:p>
    <w:p w:rsidR="00111BF4" w:rsidRPr="00890DA5" w:rsidRDefault="001E60A3">
      <w:pPr>
        <w:pStyle w:val="BodyText"/>
        <w:spacing w:line="235" w:lineRule="auto"/>
        <w:ind w:left="100" w:right="107"/>
        <w:rPr>
          <w:rFonts w:asciiTheme="minorHAnsi" w:hAnsiTheme="minorHAnsi" w:cstheme="minorHAnsi"/>
        </w:rPr>
      </w:pPr>
      <w:r w:rsidRPr="00890DA5">
        <w:rPr>
          <w:rFonts w:asciiTheme="minorHAnsi" w:hAnsiTheme="minorHAnsi" w:cstheme="minorHAnsi"/>
        </w:rPr>
        <w:t>We urge our</w:t>
      </w:r>
      <w:r w:rsidR="002B2587">
        <w:rPr>
          <w:rFonts w:asciiTheme="minorHAnsi" w:hAnsiTheme="minorHAnsi" w:cstheme="minorHAnsi"/>
        </w:rPr>
        <w:t xml:space="preserve"> legislators to take this next</w:t>
      </w:r>
      <w:r w:rsidRPr="00890DA5">
        <w:rPr>
          <w:rFonts w:asciiTheme="minorHAnsi" w:hAnsiTheme="minorHAnsi" w:cstheme="minorHAnsi"/>
        </w:rPr>
        <w:t xml:space="preserve"> important step in keeping our children safe from guns.</w:t>
      </w:r>
    </w:p>
    <w:p w:rsidR="00111BF4" w:rsidRPr="00890DA5" w:rsidRDefault="00111BF4">
      <w:pPr>
        <w:pStyle w:val="BodyText"/>
        <w:spacing w:before="2"/>
        <w:rPr>
          <w:rFonts w:asciiTheme="minorHAnsi" w:hAnsiTheme="minorHAnsi" w:cstheme="minorHAnsi"/>
          <w:sz w:val="23"/>
        </w:rPr>
      </w:pPr>
    </w:p>
    <w:p w:rsidR="00111BF4" w:rsidRPr="00890DA5" w:rsidRDefault="001E60A3">
      <w:pPr>
        <w:pStyle w:val="Heading1"/>
        <w:rPr>
          <w:rFonts w:asciiTheme="minorHAnsi" w:hAnsiTheme="minorHAnsi" w:cstheme="minorHAnsi"/>
          <w:b w:val="0"/>
        </w:rPr>
      </w:pPr>
      <w:r w:rsidRPr="00890DA5">
        <w:rPr>
          <w:rFonts w:asciiTheme="minorHAnsi" w:hAnsiTheme="minorHAnsi" w:cstheme="minorHAnsi"/>
        </w:rPr>
        <w:t>Contact</w:t>
      </w:r>
      <w:r w:rsidRPr="00890DA5">
        <w:rPr>
          <w:rFonts w:asciiTheme="minorHAnsi" w:hAnsiTheme="minorHAnsi" w:cstheme="minorHAnsi"/>
          <w:b w:val="0"/>
        </w:rPr>
        <w:t>:</w:t>
      </w:r>
    </w:p>
    <w:p w:rsidR="00111BF4" w:rsidRPr="00890DA5" w:rsidRDefault="00111BF4">
      <w:pPr>
        <w:pStyle w:val="BodyText"/>
        <w:spacing w:before="11"/>
        <w:rPr>
          <w:rFonts w:asciiTheme="minorHAnsi" w:hAnsiTheme="minorHAnsi" w:cstheme="minorHAnsi"/>
          <w:sz w:val="22"/>
        </w:rPr>
      </w:pPr>
    </w:p>
    <w:p w:rsidR="00111BF4" w:rsidRPr="00890DA5" w:rsidRDefault="001E60A3">
      <w:pPr>
        <w:pStyle w:val="BodyText"/>
        <w:spacing w:line="272" w:lineRule="exact"/>
        <w:ind w:left="100"/>
        <w:rPr>
          <w:rFonts w:asciiTheme="minorHAnsi" w:hAnsiTheme="minorHAnsi" w:cstheme="minorHAnsi"/>
        </w:rPr>
      </w:pPr>
      <w:proofErr w:type="spellStart"/>
      <w:r w:rsidRPr="00890DA5">
        <w:rPr>
          <w:rFonts w:asciiTheme="minorHAnsi" w:hAnsiTheme="minorHAnsi" w:cstheme="minorHAnsi"/>
        </w:rPr>
        <w:t>Elie</w:t>
      </w:r>
      <w:proofErr w:type="spellEnd"/>
      <w:r w:rsidRPr="00890DA5">
        <w:rPr>
          <w:rFonts w:asciiTheme="minorHAnsi" w:hAnsiTheme="minorHAnsi" w:cstheme="minorHAnsi"/>
        </w:rPr>
        <w:t xml:space="preserve"> Ward, MSW</w:t>
      </w:r>
    </w:p>
    <w:p w:rsidR="00111BF4" w:rsidRPr="00890DA5" w:rsidRDefault="001E60A3">
      <w:pPr>
        <w:pStyle w:val="BodyText"/>
        <w:spacing w:before="1" w:line="235" w:lineRule="auto"/>
        <w:ind w:left="100" w:right="7032"/>
        <w:rPr>
          <w:rFonts w:asciiTheme="minorHAnsi" w:hAnsiTheme="minorHAnsi" w:cstheme="minorHAnsi"/>
        </w:rPr>
      </w:pPr>
      <w:r w:rsidRPr="00890DA5">
        <w:rPr>
          <w:rFonts w:asciiTheme="minorHAnsi" w:hAnsiTheme="minorHAnsi" w:cstheme="minorHAnsi"/>
        </w:rPr>
        <w:t>Director of Policy &amp; Advocacy NYS AAP, District II</w:t>
      </w:r>
      <w:hyperlink r:id="rId5">
        <w:r w:rsidRPr="00890DA5">
          <w:rPr>
            <w:rFonts w:asciiTheme="minorHAnsi" w:hAnsiTheme="minorHAnsi" w:cstheme="minorHAnsi"/>
          </w:rPr>
          <w:t xml:space="preserve"> eward@aap.net</w:t>
        </w:r>
      </w:hyperlink>
    </w:p>
    <w:sectPr w:rsidR="00111BF4" w:rsidRPr="00890DA5" w:rsidSect="003A4C23">
      <w:type w:val="continuous"/>
      <w:pgSz w:w="12240" w:h="15840"/>
      <w:pgMar w:top="108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11BF4"/>
    <w:rsid w:val="00111BF4"/>
    <w:rsid w:val="001E60A3"/>
    <w:rsid w:val="002B2587"/>
    <w:rsid w:val="003A4C23"/>
    <w:rsid w:val="00563BE9"/>
    <w:rsid w:val="00592AB4"/>
    <w:rsid w:val="00890DA5"/>
    <w:rsid w:val="00A70DE8"/>
    <w:rsid w:val="00B62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4C23"/>
    <w:rPr>
      <w:rFonts w:ascii="Arial" w:eastAsia="Arial" w:hAnsi="Arial" w:cs="Arial"/>
      <w:lang w:bidi="en-US"/>
    </w:rPr>
  </w:style>
  <w:style w:type="paragraph" w:styleId="Heading1">
    <w:name w:val="heading 1"/>
    <w:basedOn w:val="Normal"/>
    <w:uiPriority w:val="1"/>
    <w:qFormat/>
    <w:rsid w:val="003A4C23"/>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4C23"/>
    <w:rPr>
      <w:sz w:val="24"/>
      <w:szCs w:val="24"/>
    </w:rPr>
  </w:style>
  <w:style w:type="paragraph" w:styleId="ListParagraph">
    <w:name w:val="List Paragraph"/>
    <w:basedOn w:val="Normal"/>
    <w:uiPriority w:val="1"/>
    <w:qFormat/>
    <w:rsid w:val="003A4C23"/>
  </w:style>
  <w:style w:type="paragraph" w:customStyle="1" w:styleId="TableParagraph">
    <w:name w:val="Table Paragraph"/>
    <w:basedOn w:val="Normal"/>
    <w:uiPriority w:val="1"/>
    <w:qFormat/>
    <w:rsid w:val="003A4C23"/>
  </w:style>
  <w:style w:type="paragraph" w:styleId="BalloonText">
    <w:name w:val="Balloon Text"/>
    <w:basedOn w:val="Normal"/>
    <w:link w:val="BalloonTextChar"/>
    <w:uiPriority w:val="99"/>
    <w:semiHidden/>
    <w:unhideWhenUsed/>
    <w:rsid w:val="00890DA5"/>
    <w:rPr>
      <w:rFonts w:ascii="Tahoma" w:hAnsi="Tahoma" w:cs="Tahoma"/>
      <w:sz w:val="16"/>
      <w:szCs w:val="16"/>
    </w:rPr>
  </w:style>
  <w:style w:type="character" w:customStyle="1" w:styleId="BalloonTextChar">
    <w:name w:val="Balloon Text Char"/>
    <w:basedOn w:val="DefaultParagraphFont"/>
    <w:link w:val="BalloonText"/>
    <w:uiPriority w:val="99"/>
    <w:semiHidden/>
    <w:rsid w:val="00890DA5"/>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0DA5"/>
    <w:rPr>
      <w:rFonts w:ascii="Tahoma" w:hAnsi="Tahoma" w:cs="Tahoma"/>
      <w:sz w:val="16"/>
      <w:szCs w:val="16"/>
    </w:rPr>
  </w:style>
  <w:style w:type="character" w:customStyle="1" w:styleId="BalloonTextChar">
    <w:name w:val="Balloon Text Char"/>
    <w:basedOn w:val="DefaultParagraphFont"/>
    <w:link w:val="BalloonText"/>
    <w:uiPriority w:val="99"/>
    <w:semiHidden/>
    <w:rsid w:val="00890DA5"/>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rd@aa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jgeslani</dc:creator>
  <cp:lastModifiedBy>Windows User</cp:lastModifiedBy>
  <cp:revision>2</cp:revision>
  <dcterms:created xsi:type="dcterms:W3CDTF">2018-05-24T22:17:00Z</dcterms:created>
  <dcterms:modified xsi:type="dcterms:W3CDTF">2018-05-24T22:17:00Z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2018-05-24T00:00:00Z</vt:filetime>
  </property>
</Properties>
</file>