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D72" w:rsidRDefault="00B01D72" w:rsidP="00B01D72">
      <w:pPr>
        <w:jc w:val="center"/>
        <w:rPr>
          <w:rFonts w:asciiTheme="minorHAnsi" w:hAnsiTheme="minorHAnsi" w:cstheme="minorHAnsi"/>
        </w:rPr>
      </w:pPr>
      <w:r w:rsidRPr="007664EC">
        <w:rPr>
          <w:rFonts w:asciiTheme="minorHAnsi" w:hAnsiTheme="minorHAnsi" w:cstheme="minorHAnsi"/>
          <w:noProof/>
        </w:rPr>
        <w:drawing>
          <wp:anchor distT="0" distB="0" distL="114300" distR="114300" simplePos="0" relativeHeight="251659264" behindDoc="0" locked="0" layoutInCell="1" allowOverlap="1">
            <wp:simplePos x="0" y="0"/>
            <wp:positionH relativeFrom="margin">
              <wp:posOffset>1299210</wp:posOffset>
            </wp:positionH>
            <wp:positionV relativeFrom="margin">
              <wp:posOffset>307340</wp:posOffset>
            </wp:positionV>
            <wp:extent cx="3797300" cy="584200"/>
            <wp:effectExtent l="0" t="0" r="0" b="6350"/>
            <wp:wrapTopAndBottom/>
            <wp:docPr id="4" name="Picture 4" descr="1LineAAPLogo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LineAAPLogoPos"/>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97300" cy="584200"/>
                    </a:xfrm>
                    <a:prstGeom prst="rect">
                      <a:avLst/>
                    </a:prstGeom>
                    <a:noFill/>
                    <a:ln>
                      <a:noFill/>
                    </a:ln>
                  </pic:spPr>
                </pic:pic>
              </a:graphicData>
            </a:graphic>
          </wp:anchor>
        </w:drawing>
      </w:r>
      <w:r w:rsidRPr="007664EC">
        <w:rPr>
          <w:rFonts w:asciiTheme="minorHAnsi" w:hAnsiTheme="minorHAnsi" w:cstheme="minorHAnsi"/>
        </w:rPr>
        <w:t>NYS</w:t>
      </w:r>
      <w:r>
        <w:rPr>
          <w:rFonts w:asciiTheme="minorHAnsi" w:hAnsiTheme="minorHAnsi" w:cstheme="minorHAnsi"/>
        </w:rPr>
        <w:t>AAP</w:t>
      </w:r>
      <w:r w:rsidRPr="007664EC">
        <w:rPr>
          <w:rFonts w:asciiTheme="minorHAnsi" w:hAnsiTheme="minorHAnsi" w:cstheme="minorHAnsi"/>
        </w:rPr>
        <w:t>, District II, Chapters 1, 2 &amp; 3</w:t>
      </w:r>
    </w:p>
    <w:p w:rsidR="00B01D72" w:rsidRDefault="00B01D72" w:rsidP="00B01D72">
      <w:pPr>
        <w:jc w:val="center"/>
        <w:rPr>
          <w:rFonts w:asciiTheme="minorHAnsi" w:hAnsiTheme="minorHAnsi" w:cstheme="minorHAnsi"/>
        </w:rPr>
      </w:pPr>
    </w:p>
    <w:p w:rsidR="00B01D72" w:rsidRPr="00C12630" w:rsidRDefault="00B01D72" w:rsidP="00B01D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sz w:val="22"/>
          <w:szCs w:val="22"/>
        </w:rPr>
      </w:pP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sz w:val="22"/>
          <w:szCs w:val="22"/>
        </w:rPr>
        <w:t>January</w:t>
      </w:r>
      <w:bookmarkStart w:id="0" w:name="_GoBack"/>
      <w:bookmarkEnd w:id="0"/>
      <w:r>
        <w:rPr>
          <w:rFonts w:asciiTheme="majorHAnsi" w:eastAsia="Times New Roman" w:hAnsiTheme="majorHAnsi" w:cstheme="majorHAnsi"/>
          <w:color w:val="000000"/>
          <w:sz w:val="22"/>
          <w:szCs w:val="22"/>
        </w:rPr>
        <w:t xml:space="preserve"> 12, 2018</w:t>
      </w:r>
    </w:p>
    <w:p w:rsidR="00B01D72" w:rsidRDefault="00B01D72" w:rsidP="00B01D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color w:val="000000"/>
        </w:rPr>
      </w:pPr>
    </w:p>
    <w:p w:rsidR="00B01D72" w:rsidRDefault="00B01D72" w:rsidP="00B01D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color w:val="000000"/>
        </w:rPr>
      </w:pPr>
    </w:p>
    <w:p w:rsidR="00B01D72" w:rsidRPr="00A92CE1" w:rsidRDefault="00B01D72" w:rsidP="00B01D72">
      <w:pPr>
        <w:pStyle w:val="NoSpacing"/>
        <w:tabs>
          <w:tab w:val="left" w:pos="450"/>
        </w:tabs>
        <w:jc w:val="center"/>
        <w:rPr>
          <w:b/>
          <w:sz w:val="28"/>
          <w:szCs w:val="28"/>
        </w:rPr>
      </w:pPr>
      <w:r w:rsidRPr="00A92CE1">
        <w:rPr>
          <w:b/>
          <w:sz w:val="28"/>
          <w:szCs w:val="28"/>
        </w:rPr>
        <w:t>Memo of Support</w:t>
      </w:r>
    </w:p>
    <w:p w:rsidR="00B01D72" w:rsidRPr="00A92CE1" w:rsidRDefault="00B01D72" w:rsidP="00B01D72">
      <w:pPr>
        <w:pStyle w:val="NoSpacing"/>
        <w:tabs>
          <w:tab w:val="left" w:pos="450"/>
        </w:tabs>
        <w:jc w:val="center"/>
        <w:rPr>
          <w:b/>
          <w:sz w:val="28"/>
          <w:szCs w:val="28"/>
        </w:rPr>
      </w:pPr>
      <w:r>
        <w:rPr>
          <w:b/>
          <w:sz w:val="28"/>
          <w:szCs w:val="28"/>
        </w:rPr>
        <w:t>A.07218a/S.5585a</w:t>
      </w:r>
    </w:p>
    <w:p w:rsidR="00B01D72" w:rsidRPr="0093407C" w:rsidRDefault="00B01D72" w:rsidP="00B01D72">
      <w:pPr>
        <w:pStyle w:val="NoSpacing"/>
        <w:tabs>
          <w:tab w:val="left" w:pos="450"/>
        </w:tabs>
        <w:jc w:val="center"/>
        <w:rPr>
          <w:b/>
          <w:sz w:val="24"/>
          <w:szCs w:val="24"/>
        </w:rPr>
      </w:pPr>
    </w:p>
    <w:p w:rsidR="00B01D72" w:rsidRPr="00C12630" w:rsidRDefault="00B01D72" w:rsidP="00B01D72">
      <w:pPr>
        <w:spacing w:line="240" w:lineRule="auto"/>
        <w:rPr>
          <w:rFonts w:ascii="Calibri" w:hAnsi="Calibri" w:cs="Calibri"/>
        </w:rPr>
      </w:pPr>
      <w:r w:rsidRPr="00C12630">
        <w:rPr>
          <w:rFonts w:ascii="Calibri" w:hAnsi="Calibri" w:cs="Calibri"/>
        </w:rPr>
        <w:t>NYS AAP, representing more than 5,000 pediatricians across New York State, strongly supports this legislation which requires anyone who choses an indoor tanning option to be over the age of 18.</w:t>
      </w:r>
    </w:p>
    <w:p w:rsidR="00B01D72" w:rsidRPr="00C12630" w:rsidRDefault="00B01D72" w:rsidP="00B01D72">
      <w:pPr>
        <w:pStyle w:val="BodyText"/>
        <w:ind w:right="334"/>
        <w:rPr>
          <w:sz w:val="24"/>
          <w:szCs w:val="24"/>
        </w:rPr>
      </w:pPr>
      <w:r w:rsidRPr="00C12630">
        <w:rPr>
          <w:sz w:val="24"/>
          <w:szCs w:val="24"/>
        </w:rPr>
        <w:t xml:space="preserve">We see firsthand how exposure to UV radiation, especially through intentional tanning, negatively impacts the health of children both now and as they age into adulthood. </w:t>
      </w:r>
    </w:p>
    <w:p w:rsidR="00B01D72" w:rsidRPr="00C12630" w:rsidRDefault="00B01D72" w:rsidP="00B01D72">
      <w:pPr>
        <w:pStyle w:val="BodyText"/>
        <w:ind w:left="101" w:right="99"/>
        <w:rPr>
          <w:sz w:val="24"/>
          <w:szCs w:val="24"/>
        </w:rPr>
      </w:pPr>
    </w:p>
    <w:p w:rsidR="00B01D72" w:rsidRPr="00C12630" w:rsidRDefault="00B01D72" w:rsidP="00B01D72">
      <w:pPr>
        <w:pStyle w:val="BodyText"/>
        <w:ind w:right="99"/>
        <w:rPr>
          <w:sz w:val="24"/>
          <w:szCs w:val="24"/>
        </w:rPr>
      </w:pPr>
      <w:r w:rsidRPr="00C12630">
        <w:rPr>
          <w:sz w:val="24"/>
          <w:szCs w:val="24"/>
        </w:rPr>
        <w:t>Even infrequent tanning using tanning beds can lead to an increased risk of skin damage and cancer, especially if the initiation of tanning bed use occurs earlier in life. A large cohort study conducted in 2011 indicated a significantly higher increased risk of basal cell carcinoma for those who used tanning beds during high school and college as compared with use between the ages of 25 and 35, andthatindividuals who participated in only four tanning sessions per year were still at an increased risk of melanoma by 11% and basal cell and squamous cell carcinoma by 15%.</w:t>
      </w:r>
    </w:p>
    <w:p w:rsidR="00B01D72" w:rsidRDefault="00B01D72" w:rsidP="00B01D72">
      <w:pPr>
        <w:pStyle w:val="BodyText"/>
        <w:spacing w:before="1"/>
        <w:ind w:right="145"/>
        <w:rPr>
          <w:sz w:val="24"/>
          <w:szCs w:val="24"/>
        </w:rPr>
      </w:pPr>
    </w:p>
    <w:p w:rsidR="00B01D72" w:rsidRPr="00C12630" w:rsidRDefault="00B01D72" w:rsidP="00B01D72">
      <w:pPr>
        <w:pStyle w:val="BodyText"/>
        <w:spacing w:before="1"/>
        <w:ind w:right="145"/>
        <w:rPr>
          <w:sz w:val="24"/>
          <w:szCs w:val="24"/>
        </w:rPr>
      </w:pPr>
      <w:r>
        <w:rPr>
          <w:sz w:val="24"/>
          <w:szCs w:val="24"/>
        </w:rPr>
        <w:t>G</w:t>
      </w:r>
      <w:r w:rsidRPr="00C12630">
        <w:rPr>
          <w:sz w:val="24"/>
          <w:szCs w:val="24"/>
        </w:rPr>
        <w:t>iven their developmental vulnerability, many adolescents are not able to make completely informed decisions regarding the use of these devices. A 2011 nationwide survey indicated that nearly 90% of adolescent respondents used tanning beds despite knowing that they increase the risk of skin cancer, and adolescent respondents were twice as likely to be unaware of any warning labels on tanning beds compared with adult users. Currently, state and local laws do not adequately protect children from the harms of indoor tanning and must be supplemented with a statewide prohibition on their use under age18.</w:t>
      </w:r>
    </w:p>
    <w:p w:rsidR="00B01D72" w:rsidRPr="00C12630" w:rsidRDefault="00B01D72" w:rsidP="00B01D72">
      <w:pPr>
        <w:spacing w:line="240" w:lineRule="auto"/>
        <w:rPr>
          <w:rFonts w:asciiTheme="majorHAnsi" w:hAnsiTheme="majorHAnsi" w:cstheme="majorHAnsi"/>
        </w:rPr>
      </w:pPr>
    </w:p>
    <w:p w:rsidR="00B01D72" w:rsidRPr="00A92CE1" w:rsidRDefault="00B01D72" w:rsidP="00B01D72">
      <w:pPr>
        <w:spacing w:line="240" w:lineRule="auto"/>
        <w:rPr>
          <w:rFonts w:asciiTheme="majorHAnsi" w:hAnsiTheme="majorHAnsi" w:cstheme="majorHAnsi"/>
          <w:sz w:val="20"/>
          <w:szCs w:val="20"/>
        </w:rPr>
      </w:pPr>
      <w:r w:rsidRPr="00A92CE1">
        <w:rPr>
          <w:rFonts w:asciiTheme="majorHAnsi" w:hAnsiTheme="majorHAnsi" w:cstheme="majorHAnsi"/>
          <w:sz w:val="20"/>
          <w:szCs w:val="20"/>
        </w:rPr>
        <w:t xml:space="preserve">Contact: </w:t>
      </w:r>
    </w:p>
    <w:p w:rsidR="00B01D72" w:rsidRPr="00A92CE1" w:rsidRDefault="00B01D72" w:rsidP="00B01D72">
      <w:pPr>
        <w:spacing w:after="0" w:line="240" w:lineRule="auto"/>
        <w:rPr>
          <w:rFonts w:asciiTheme="majorHAnsi" w:hAnsiTheme="majorHAnsi" w:cstheme="majorHAnsi"/>
          <w:sz w:val="20"/>
          <w:szCs w:val="20"/>
        </w:rPr>
      </w:pPr>
      <w:proofErr w:type="spellStart"/>
      <w:r w:rsidRPr="00A92CE1">
        <w:rPr>
          <w:rFonts w:asciiTheme="majorHAnsi" w:hAnsiTheme="majorHAnsi" w:cstheme="majorHAnsi"/>
          <w:sz w:val="20"/>
          <w:szCs w:val="20"/>
        </w:rPr>
        <w:t>Elie</w:t>
      </w:r>
      <w:proofErr w:type="spellEnd"/>
      <w:r w:rsidRPr="00A92CE1">
        <w:rPr>
          <w:rFonts w:asciiTheme="majorHAnsi" w:hAnsiTheme="majorHAnsi" w:cstheme="majorHAnsi"/>
          <w:sz w:val="20"/>
          <w:szCs w:val="20"/>
        </w:rPr>
        <w:t xml:space="preserve"> Ward, MSW, </w:t>
      </w:r>
    </w:p>
    <w:p w:rsidR="00B01D72" w:rsidRPr="00A92CE1" w:rsidRDefault="00B01D72" w:rsidP="00B01D72">
      <w:pPr>
        <w:spacing w:after="0" w:line="240" w:lineRule="auto"/>
        <w:rPr>
          <w:rFonts w:asciiTheme="majorHAnsi" w:hAnsiTheme="majorHAnsi" w:cstheme="majorHAnsi"/>
          <w:sz w:val="20"/>
          <w:szCs w:val="20"/>
        </w:rPr>
      </w:pPr>
      <w:r w:rsidRPr="00A92CE1">
        <w:rPr>
          <w:rFonts w:asciiTheme="majorHAnsi" w:hAnsiTheme="majorHAnsi" w:cstheme="majorHAnsi"/>
          <w:sz w:val="20"/>
          <w:szCs w:val="20"/>
        </w:rPr>
        <w:t>Director of Policy &amp; Advocacy, NYSAAP</w:t>
      </w:r>
    </w:p>
    <w:p w:rsidR="00B01D72" w:rsidRPr="00A92CE1" w:rsidRDefault="001A349A" w:rsidP="00B01D72">
      <w:pPr>
        <w:spacing w:after="0" w:line="240" w:lineRule="auto"/>
        <w:rPr>
          <w:rFonts w:asciiTheme="majorHAnsi" w:hAnsiTheme="majorHAnsi" w:cstheme="majorHAnsi"/>
          <w:sz w:val="20"/>
          <w:szCs w:val="20"/>
        </w:rPr>
      </w:pPr>
      <w:hyperlink r:id="rId5" w:history="1">
        <w:r w:rsidR="00B01D72" w:rsidRPr="00A92CE1">
          <w:rPr>
            <w:rStyle w:val="Hyperlink"/>
            <w:rFonts w:asciiTheme="majorHAnsi" w:hAnsiTheme="majorHAnsi" w:cstheme="majorHAnsi"/>
            <w:sz w:val="20"/>
            <w:szCs w:val="20"/>
          </w:rPr>
          <w:t>eward@aap.net</w:t>
        </w:r>
      </w:hyperlink>
      <w:r w:rsidR="00B01D72" w:rsidRPr="00A92CE1">
        <w:rPr>
          <w:rFonts w:asciiTheme="majorHAnsi" w:hAnsiTheme="majorHAnsi" w:cstheme="majorHAnsi"/>
          <w:sz w:val="20"/>
          <w:szCs w:val="20"/>
        </w:rPr>
        <w:t>.</w:t>
      </w:r>
    </w:p>
    <w:p w:rsidR="00B01D72" w:rsidRPr="005321D3" w:rsidRDefault="00B01D72" w:rsidP="00B01D72">
      <w:pPr>
        <w:spacing w:line="240" w:lineRule="auto"/>
        <w:rPr>
          <w:rFonts w:asciiTheme="majorHAnsi" w:hAnsiTheme="majorHAnsi" w:cstheme="majorHAnsi"/>
        </w:rPr>
      </w:pPr>
    </w:p>
    <w:p w:rsidR="00B01D72" w:rsidRPr="007664EC" w:rsidRDefault="00B01D72" w:rsidP="00B01D72">
      <w:pPr>
        <w:spacing w:line="240" w:lineRule="auto"/>
        <w:rPr>
          <w:rFonts w:asciiTheme="minorHAnsi" w:hAnsiTheme="minorHAnsi" w:cstheme="minorHAnsi"/>
        </w:rPr>
      </w:pPr>
    </w:p>
    <w:p w:rsidR="00B01D72" w:rsidRDefault="00B01D72" w:rsidP="00B01D72"/>
    <w:p w:rsidR="00D437A4" w:rsidRDefault="004029D7"/>
    <w:sectPr w:rsidR="00D437A4" w:rsidSect="001A34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B01D72"/>
    <w:rsid w:val="001A349A"/>
    <w:rsid w:val="002558D5"/>
    <w:rsid w:val="0029772E"/>
    <w:rsid w:val="004029D7"/>
    <w:rsid w:val="005171E7"/>
    <w:rsid w:val="00913467"/>
    <w:rsid w:val="00922FF0"/>
    <w:rsid w:val="00B01D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D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1D72"/>
    <w:pPr>
      <w:spacing w:after="0" w:line="240" w:lineRule="auto"/>
    </w:pPr>
    <w:rPr>
      <w:rFonts w:eastAsia="Calibri"/>
      <w:sz w:val="22"/>
      <w:szCs w:val="22"/>
    </w:rPr>
  </w:style>
  <w:style w:type="character" w:styleId="Hyperlink">
    <w:name w:val="Hyperlink"/>
    <w:basedOn w:val="DefaultParagraphFont"/>
    <w:uiPriority w:val="99"/>
    <w:unhideWhenUsed/>
    <w:rsid w:val="00B01D72"/>
    <w:rPr>
      <w:color w:val="0000FF" w:themeColor="hyperlink"/>
      <w:u w:val="single"/>
    </w:rPr>
  </w:style>
  <w:style w:type="paragraph" w:styleId="BodyText">
    <w:name w:val="Body Text"/>
    <w:basedOn w:val="Normal"/>
    <w:link w:val="BodyTextChar"/>
    <w:uiPriority w:val="1"/>
    <w:qFormat/>
    <w:rsid w:val="00B01D72"/>
    <w:pPr>
      <w:widowControl w:val="0"/>
      <w:autoSpaceDE w:val="0"/>
      <w:autoSpaceDN w:val="0"/>
      <w:spacing w:after="0" w:line="240" w:lineRule="auto"/>
    </w:pPr>
    <w:rPr>
      <w:rFonts w:ascii="Calibri" w:eastAsia="Calibri" w:hAnsi="Calibri" w:cs="Calibri"/>
      <w:sz w:val="26"/>
      <w:szCs w:val="26"/>
    </w:rPr>
  </w:style>
  <w:style w:type="character" w:customStyle="1" w:styleId="BodyTextChar">
    <w:name w:val="Body Text Char"/>
    <w:basedOn w:val="DefaultParagraphFont"/>
    <w:link w:val="BodyText"/>
    <w:uiPriority w:val="1"/>
    <w:rsid w:val="00B01D72"/>
    <w:rPr>
      <w:rFonts w:ascii="Calibri" w:eastAsia="Calibri" w:hAnsi="Calibri" w:cs="Calibri"/>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D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1D72"/>
    <w:pPr>
      <w:spacing w:after="0" w:line="240" w:lineRule="auto"/>
    </w:pPr>
    <w:rPr>
      <w:rFonts w:eastAsia="Calibri"/>
      <w:sz w:val="22"/>
      <w:szCs w:val="22"/>
    </w:rPr>
  </w:style>
  <w:style w:type="character" w:styleId="Hyperlink">
    <w:name w:val="Hyperlink"/>
    <w:basedOn w:val="DefaultParagraphFont"/>
    <w:uiPriority w:val="99"/>
    <w:unhideWhenUsed/>
    <w:rsid w:val="00B01D72"/>
    <w:rPr>
      <w:color w:val="0000FF" w:themeColor="hyperlink"/>
      <w:u w:val="single"/>
    </w:rPr>
  </w:style>
  <w:style w:type="paragraph" w:styleId="BodyText">
    <w:name w:val="Body Text"/>
    <w:basedOn w:val="Normal"/>
    <w:link w:val="BodyTextChar"/>
    <w:uiPriority w:val="1"/>
    <w:qFormat/>
    <w:rsid w:val="00B01D72"/>
    <w:pPr>
      <w:widowControl w:val="0"/>
      <w:autoSpaceDE w:val="0"/>
      <w:autoSpaceDN w:val="0"/>
      <w:spacing w:after="0" w:line="240" w:lineRule="auto"/>
    </w:pPr>
    <w:rPr>
      <w:rFonts w:ascii="Calibri" w:eastAsia="Calibri" w:hAnsi="Calibri" w:cs="Calibri"/>
      <w:sz w:val="26"/>
      <w:szCs w:val="26"/>
    </w:rPr>
  </w:style>
  <w:style w:type="character" w:customStyle="1" w:styleId="BodyTextChar">
    <w:name w:val="Body Text Char"/>
    <w:basedOn w:val="DefaultParagraphFont"/>
    <w:link w:val="BodyText"/>
    <w:uiPriority w:val="1"/>
    <w:rsid w:val="00B01D72"/>
    <w:rPr>
      <w:rFonts w:ascii="Calibri" w:eastAsia="Calibri" w:hAnsi="Calibri" w:cs="Calibri"/>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ward@aap.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2</cp:revision>
  <dcterms:created xsi:type="dcterms:W3CDTF">2018-06-03T16:48:00Z</dcterms:created>
  <dcterms:modified xsi:type="dcterms:W3CDTF">2018-06-03T16:48:00Z</dcterms:modified>
</cp:coreProperties>
</file>