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4158"/>
      </w:tblGrid>
      <w:tr w:rsidR="00C1676D" w:rsidTr="00C77768">
        <w:tc>
          <w:tcPr>
            <w:tcW w:w="5418" w:type="dxa"/>
          </w:tcPr>
          <w:p w:rsidR="00C1676D" w:rsidRDefault="00C1676D" w:rsidP="00C77768">
            <w:pPr>
              <w:jc w:val="center"/>
              <w:rPr>
                <w:rFonts w:ascii="Calibri" w:hAnsi="Calibri" w:cstheme="minorHAnsi"/>
                <w:noProof/>
                <w:sz w:val="22"/>
              </w:rPr>
            </w:pPr>
            <w:r>
              <w:rPr>
                <w:rFonts w:asciiTheme="minorHAnsi" w:hAnsiTheme="minorHAnsi" w:cstheme="minorHAnsi"/>
                <w:noProof/>
              </w:rPr>
              <w:drawing>
                <wp:inline distT="0" distB="0" distL="0" distR="0">
                  <wp:extent cx="3264408" cy="8138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_AAP_1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4408" cy="813816"/>
                          </a:xfrm>
                          <a:prstGeom prst="rect">
                            <a:avLst/>
                          </a:prstGeom>
                        </pic:spPr>
                      </pic:pic>
                    </a:graphicData>
                  </a:graphic>
                </wp:inline>
              </w:drawing>
            </w:r>
          </w:p>
        </w:tc>
        <w:tc>
          <w:tcPr>
            <w:tcW w:w="4158" w:type="dxa"/>
          </w:tcPr>
          <w:p w:rsidR="00C1676D" w:rsidRPr="00730F75" w:rsidRDefault="00C1676D" w:rsidP="00C77768">
            <w:pPr>
              <w:jc w:val="right"/>
              <w:rPr>
                <w:rFonts w:ascii="Calibri" w:hAnsi="Calibri" w:cstheme="minorHAnsi"/>
                <w:noProof/>
                <w:sz w:val="10"/>
              </w:rPr>
            </w:pPr>
          </w:p>
          <w:p w:rsidR="00C1676D" w:rsidRPr="00867CE8" w:rsidRDefault="00C1676D" w:rsidP="00C77768">
            <w:pPr>
              <w:jc w:val="right"/>
              <w:rPr>
                <w:rFonts w:ascii="Calibri" w:hAnsi="Calibri" w:cstheme="minorHAnsi"/>
                <w:noProof/>
                <w:sz w:val="22"/>
              </w:rPr>
            </w:pPr>
            <w:r w:rsidRPr="00867CE8">
              <w:rPr>
                <w:rFonts w:ascii="Calibri" w:hAnsi="Calibri" w:cstheme="minorHAnsi"/>
                <w:noProof/>
                <w:sz w:val="22"/>
              </w:rPr>
              <w:t>The New York State</w:t>
            </w:r>
          </w:p>
          <w:p w:rsidR="00C1676D" w:rsidRPr="00867CE8" w:rsidRDefault="00C1676D" w:rsidP="00C77768">
            <w:pPr>
              <w:jc w:val="right"/>
              <w:rPr>
                <w:rFonts w:ascii="Calibri" w:hAnsi="Calibri" w:cstheme="minorHAnsi"/>
                <w:noProof/>
                <w:sz w:val="22"/>
              </w:rPr>
            </w:pPr>
            <w:r w:rsidRPr="00867CE8">
              <w:rPr>
                <w:rFonts w:ascii="Calibri" w:hAnsi="Calibri" w:cstheme="minorHAnsi"/>
                <w:noProof/>
                <w:sz w:val="22"/>
              </w:rPr>
              <w:t xml:space="preserve"> American Academy of Pediatrics</w:t>
            </w:r>
          </w:p>
          <w:p w:rsidR="00C1676D" w:rsidRPr="00867CE8" w:rsidRDefault="00C1676D" w:rsidP="00C77768">
            <w:pPr>
              <w:jc w:val="right"/>
              <w:rPr>
                <w:rFonts w:ascii="Calibri" w:hAnsi="Calibri" w:cstheme="minorHAnsi"/>
                <w:noProof/>
                <w:sz w:val="22"/>
              </w:rPr>
            </w:pPr>
            <w:r w:rsidRPr="00867CE8">
              <w:rPr>
                <w:rFonts w:ascii="Calibri" w:hAnsi="Calibri" w:cstheme="minorHAnsi"/>
                <w:noProof/>
                <w:sz w:val="22"/>
              </w:rPr>
              <w:t xml:space="preserve">(NYS AAP) is a coalition of </w:t>
            </w:r>
          </w:p>
          <w:p w:rsidR="00C1676D" w:rsidRPr="00867CE8" w:rsidRDefault="00C1676D" w:rsidP="00C77768">
            <w:pPr>
              <w:jc w:val="right"/>
              <w:rPr>
                <w:rFonts w:ascii="Calibri" w:hAnsi="Calibri" w:cstheme="minorHAnsi"/>
                <w:noProof/>
                <w:sz w:val="22"/>
              </w:rPr>
            </w:pPr>
            <w:r w:rsidRPr="00867CE8">
              <w:rPr>
                <w:rFonts w:ascii="Calibri" w:hAnsi="Calibri" w:cstheme="minorHAnsi"/>
                <w:noProof/>
                <w:sz w:val="22"/>
              </w:rPr>
              <w:t>AAP NY Chapters 1, 2 &amp; 3</w:t>
            </w:r>
          </w:p>
          <w:p w:rsidR="00C1676D" w:rsidRDefault="00C1676D" w:rsidP="00C77768">
            <w:pPr>
              <w:jc w:val="center"/>
              <w:rPr>
                <w:rFonts w:ascii="Calibri" w:hAnsi="Calibri" w:cstheme="minorHAnsi"/>
                <w:noProof/>
                <w:sz w:val="22"/>
              </w:rPr>
            </w:pPr>
          </w:p>
        </w:tc>
      </w:tr>
    </w:tbl>
    <w:p w:rsidR="00D437A4" w:rsidRDefault="00F56623"/>
    <w:p w:rsidR="00C1676D" w:rsidRPr="008A3931" w:rsidRDefault="00C1676D" w:rsidP="008A3931">
      <w:pPr>
        <w:jc w:val="center"/>
        <w:rPr>
          <w:sz w:val="22"/>
          <w:szCs w:val="22"/>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64076">
        <w:rPr>
          <w:sz w:val="22"/>
          <w:szCs w:val="22"/>
        </w:rPr>
        <w:t>June 1</w:t>
      </w:r>
      <w:r w:rsidRPr="008A3931">
        <w:rPr>
          <w:sz w:val="22"/>
          <w:szCs w:val="22"/>
        </w:rPr>
        <w:t>, 20018</w:t>
      </w:r>
    </w:p>
    <w:p w:rsidR="008A3931" w:rsidRDefault="00C1676D" w:rsidP="008A3931">
      <w:pPr>
        <w:jc w:val="center"/>
        <w:rPr>
          <w:b/>
          <w:sz w:val="22"/>
          <w:szCs w:val="22"/>
        </w:rPr>
      </w:pPr>
      <w:r w:rsidRPr="00297702">
        <w:rPr>
          <w:b/>
          <w:sz w:val="22"/>
          <w:szCs w:val="22"/>
        </w:rPr>
        <w:t>Memo of Support  A.9550</w:t>
      </w:r>
      <w:r w:rsidR="00D64076">
        <w:rPr>
          <w:b/>
          <w:sz w:val="22"/>
          <w:szCs w:val="22"/>
        </w:rPr>
        <w:t>A</w:t>
      </w:r>
      <w:r w:rsidR="00CB50C1">
        <w:rPr>
          <w:b/>
          <w:sz w:val="22"/>
          <w:szCs w:val="22"/>
        </w:rPr>
        <w:t>/S.08774</w:t>
      </w:r>
      <w:r w:rsidR="00D64076">
        <w:rPr>
          <w:b/>
          <w:sz w:val="22"/>
          <w:szCs w:val="22"/>
        </w:rPr>
        <w:t>A</w:t>
      </w:r>
      <w:bookmarkStart w:id="0" w:name="_GoBack"/>
      <w:bookmarkEnd w:id="0"/>
    </w:p>
    <w:p w:rsidR="00297702" w:rsidRPr="00297702" w:rsidRDefault="00297702" w:rsidP="008A3931">
      <w:pPr>
        <w:jc w:val="center"/>
        <w:rPr>
          <w:b/>
          <w:sz w:val="22"/>
          <w:szCs w:val="22"/>
        </w:rPr>
      </w:pPr>
    </w:p>
    <w:p w:rsidR="00C1676D" w:rsidRPr="00297702" w:rsidRDefault="00C1676D">
      <w:pPr>
        <w:rPr>
          <w:sz w:val="22"/>
          <w:szCs w:val="22"/>
        </w:rPr>
      </w:pPr>
      <w:r w:rsidRPr="00297702">
        <w:rPr>
          <w:sz w:val="22"/>
          <w:szCs w:val="22"/>
        </w:rPr>
        <w:t>The New York State American Academy of Pediatrics, representing more than 5,000 pediatricians across the state strongly supports A. 9950</w:t>
      </w:r>
      <w:r w:rsidR="00CB50C1">
        <w:rPr>
          <w:sz w:val="22"/>
          <w:szCs w:val="22"/>
        </w:rPr>
        <w:t>/S. 08774</w:t>
      </w:r>
    </w:p>
    <w:p w:rsidR="002A02CC" w:rsidRPr="00297702" w:rsidRDefault="00C1676D">
      <w:pPr>
        <w:rPr>
          <w:sz w:val="22"/>
          <w:szCs w:val="22"/>
        </w:rPr>
      </w:pPr>
      <w:r w:rsidRPr="00297702">
        <w:rPr>
          <w:sz w:val="22"/>
          <w:szCs w:val="22"/>
        </w:rPr>
        <w:t xml:space="preserve">Eliminating the current </w:t>
      </w:r>
      <w:r w:rsidR="00AF236A" w:rsidRPr="00297702">
        <w:rPr>
          <w:sz w:val="22"/>
          <w:szCs w:val="22"/>
        </w:rPr>
        <w:t>barrier to nurses in attendance at a healthy birth to admit a healthy newborn to the regular nursery will streamline care of newborns and will in no way impact quality of care</w:t>
      </w:r>
      <w:r w:rsidRPr="00297702">
        <w:rPr>
          <w:sz w:val="22"/>
          <w:szCs w:val="22"/>
        </w:rPr>
        <w:t>.</w:t>
      </w:r>
    </w:p>
    <w:p w:rsidR="002A02CC" w:rsidRPr="00297702" w:rsidRDefault="002A02CC">
      <w:pPr>
        <w:rPr>
          <w:sz w:val="22"/>
          <w:szCs w:val="22"/>
        </w:rPr>
      </w:pPr>
      <w:r w:rsidRPr="00297702">
        <w:rPr>
          <w:sz w:val="22"/>
          <w:szCs w:val="22"/>
        </w:rPr>
        <w:t>Nurses in the delivery room already check the newborn’s vital signs, and take the blood sample for newborn testing requirements.  They also perform all other regimens for healthy newborns in the delivery room.  They have full knowledge of the condition of the newborn.  If there is any concern with the “health” of the newborn, this legislation clearly states that a pediatrician should be called in any instance where there is concern.</w:t>
      </w:r>
    </w:p>
    <w:p w:rsidR="002A02CC" w:rsidRPr="00297702" w:rsidRDefault="00297702">
      <w:pPr>
        <w:rPr>
          <w:sz w:val="22"/>
          <w:szCs w:val="22"/>
        </w:rPr>
      </w:pPr>
      <w:r w:rsidRPr="00297702">
        <w:rPr>
          <w:sz w:val="22"/>
          <w:szCs w:val="22"/>
        </w:rPr>
        <w:t>But b</w:t>
      </w:r>
      <w:r w:rsidR="002A02CC" w:rsidRPr="00297702">
        <w:rPr>
          <w:sz w:val="22"/>
          <w:szCs w:val="22"/>
        </w:rPr>
        <w:t xml:space="preserve">irth is not a medical condition and most newborns are healthy and can be admitted to the regular nursery.  The pediatrician would ordinarily do rounds in the morning.  All babies would be seen by a pediatrician prior to discharge. </w:t>
      </w:r>
    </w:p>
    <w:p w:rsidR="002A02CC" w:rsidRPr="00297702" w:rsidRDefault="002A02CC">
      <w:pPr>
        <w:rPr>
          <w:sz w:val="22"/>
          <w:szCs w:val="22"/>
        </w:rPr>
      </w:pPr>
      <w:r w:rsidRPr="00297702">
        <w:rPr>
          <w:sz w:val="22"/>
          <w:szCs w:val="22"/>
        </w:rPr>
        <w:t xml:space="preserve">Most other states allow nurses to admit healthy newborns to the regular nursery. </w:t>
      </w:r>
      <w:r w:rsidR="008A3931" w:rsidRPr="00297702">
        <w:rPr>
          <w:sz w:val="22"/>
          <w:szCs w:val="22"/>
        </w:rPr>
        <w:t>J</w:t>
      </w:r>
      <w:r w:rsidRPr="00297702">
        <w:rPr>
          <w:sz w:val="22"/>
          <w:szCs w:val="22"/>
        </w:rPr>
        <w:t>C</w:t>
      </w:r>
      <w:r w:rsidR="008A3931" w:rsidRPr="00297702">
        <w:rPr>
          <w:sz w:val="22"/>
          <w:szCs w:val="22"/>
        </w:rPr>
        <w:t>A</w:t>
      </w:r>
      <w:r w:rsidRPr="00297702">
        <w:rPr>
          <w:sz w:val="22"/>
          <w:szCs w:val="22"/>
        </w:rPr>
        <w:t>HO</w:t>
      </w:r>
      <w:r w:rsidR="008A3931" w:rsidRPr="00297702">
        <w:rPr>
          <w:sz w:val="22"/>
          <w:szCs w:val="22"/>
        </w:rPr>
        <w:t xml:space="preserve">, the Joint Commission on Hospital Accreditation does not require anything other than a nurse admitting a healthy newborn to the regular nursery.  It is only an historic peculiarity of New York State regulation that maintains this unnecessary and burdensome requirement.  </w:t>
      </w:r>
      <w:r w:rsidRPr="00297702">
        <w:rPr>
          <w:sz w:val="22"/>
          <w:szCs w:val="22"/>
        </w:rPr>
        <w:t xml:space="preserve"> It is time to New York State to join</w:t>
      </w:r>
      <w:r w:rsidR="008A3931" w:rsidRPr="00297702">
        <w:rPr>
          <w:sz w:val="22"/>
          <w:szCs w:val="22"/>
        </w:rPr>
        <w:t xml:space="preserve"> the rest of medicine and remove this barrier to good and efficient care of newborns.</w:t>
      </w:r>
    </w:p>
    <w:p w:rsidR="008A3931" w:rsidRPr="00297702" w:rsidRDefault="008A3931">
      <w:pPr>
        <w:rPr>
          <w:sz w:val="22"/>
          <w:szCs w:val="22"/>
        </w:rPr>
      </w:pPr>
      <w:r w:rsidRPr="00297702">
        <w:rPr>
          <w:sz w:val="22"/>
          <w:szCs w:val="22"/>
        </w:rPr>
        <w:t xml:space="preserve">We urge you to pass this legislation this year. </w:t>
      </w:r>
    </w:p>
    <w:p w:rsidR="00297702" w:rsidRDefault="00297702" w:rsidP="008A3931">
      <w:pPr>
        <w:spacing w:after="0" w:line="240" w:lineRule="auto"/>
        <w:rPr>
          <w:b/>
          <w:sz w:val="22"/>
          <w:szCs w:val="22"/>
        </w:rPr>
      </w:pPr>
    </w:p>
    <w:p w:rsidR="00297702" w:rsidRDefault="00297702" w:rsidP="008A3931">
      <w:pPr>
        <w:spacing w:after="0" w:line="240" w:lineRule="auto"/>
        <w:rPr>
          <w:b/>
          <w:sz w:val="22"/>
          <w:szCs w:val="22"/>
        </w:rPr>
      </w:pPr>
    </w:p>
    <w:p w:rsidR="008A3931" w:rsidRPr="008A3931" w:rsidRDefault="008A3931" w:rsidP="008A3931">
      <w:pPr>
        <w:spacing w:after="0" w:line="240" w:lineRule="auto"/>
        <w:rPr>
          <w:b/>
          <w:sz w:val="22"/>
          <w:szCs w:val="22"/>
        </w:rPr>
      </w:pPr>
      <w:r w:rsidRPr="008A3931">
        <w:rPr>
          <w:b/>
          <w:sz w:val="22"/>
          <w:szCs w:val="22"/>
        </w:rPr>
        <w:t>Contact:</w:t>
      </w:r>
    </w:p>
    <w:p w:rsidR="008A3931" w:rsidRDefault="008A3931" w:rsidP="008A3931">
      <w:pPr>
        <w:spacing w:after="0" w:line="240" w:lineRule="auto"/>
      </w:pPr>
    </w:p>
    <w:p w:rsidR="008A3931" w:rsidRPr="008A3931" w:rsidRDefault="008A3931" w:rsidP="008A3931">
      <w:pPr>
        <w:spacing w:after="0" w:line="240" w:lineRule="auto"/>
        <w:rPr>
          <w:sz w:val="20"/>
          <w:szCs w:val="20"/>
        </w:rPr>
      </w:pPr>
      <w:proofErr w:type="spellStart"/>
      <w:r w:rsidRPr="008A3931">
        <w:rPr>
          <w:sz w:val="20"/>
          <w:szCs w:val="20"/>
        </w:rPr>
        <w:t>Elie</w:t>
      </w:r>
      <w:proofErr w:type="spellEnd"/>
      <w:r w:rsidRPr="008A3931">
        <w:rPr>
          <w:sz w:val="20"/>
          <w:szCs w:val="20"/>
        </w:rPr>
        <w:t xml:space="preserve"> Ward, MSW</w:t>
      </w:r>
    </w:p>
    <w:p w:rsidR="008A3931" w:rsidRPr="008A3931" w:rsidRDefault="008A3931" w:rsidP="008A3931">
      <w:pPr>
        <w:spacing w:after="0" w:line="240" w:lineRule="auto"/>
        <w:rPr>
          <w:sz w:val="20"/>
          <w:szCs w:val="20"/>
        </w:rPr>
      </w:pPr>
      <w:r w:rsidRPr="008A3931">
        <w:rPr>
          <w:sz w:val="20"/>
          <w:szCs w:val="20"/>
        </w:rPr>
        <w:t>Director of Policy &amp; Advocacy</w:t>
      </w:r>
    </w:p>
    <w:p w:rsidR="008A3931" w:rsidRDefault="008A3931" w:rsidP="008A3931">
      <w:pPr>
        <w:spacing w:after="0" w:line="240" w:lineRule="auto"/>
        <w:rPr>
          <w:sz w:val="20"/>
          <w:szCs w:val="20"/>
        </w:rPr>
      </w:pPr>
      <w:r>
        <w:rPr>
          <w:sz w:val="20"/>
          <w:szCs w:val="20"/>
        </w:rPr>
        <w:t xml:space="preserve">New </w:t>
      </w:r>
      <w:r w:rsidRPr="008A3931">
        <w:rPr>
          <w:sz w:val="20"/>
          <w:szCs w:val="20"/>
        </w:rPr>
        <w:t>York State American Academy of Pediatrics</w:t>
      </w:r>
    </w:p>
    <w:p w:rsidR="008A3931" w:rsidRPr="008A3931" w:rsidRDefault="008A3931" w:rsidP="008A3931">
      <w:pPr>
        <w:spacing w:after="0" w:line="240" w:lineRule="auto"/>
        <w:rPr>
          <w:sz w:val="20"/>
          <w:szCs w:val="20"/>
        </w:rPr>
      </w:pPr>
      <w:r>
        <w:rPr>
          <w:sz w:val="20"/>
          <w:szCs w:val="20"/>
        </w:rPr>
        <w:t>eward@aap.net</w:t>
      </w:r>
    </w:p>
    <w:p w:rsidR="00C1676D" w:rsidRDefault="00C1676D"/>
    <w:sectPr w:rsidR="00C1676D" w:rsidSect="00960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262B"/>
    <w:rsid w:val="000F262B"/>
    <w:rsid w:val="002558D5"/>
    <w:rsid w:val="00294497"/>
    <w:rsid w:val="00297702"/>
    <w:rsid w:val="0029772E"/>
    <w:rsid w:val="002A02CC"/>
    <w:rsid w:val="005171E7"/>
    <w:rsid w:val="008A3931"/>
    <w:rsid w:val="00913467"/>
    <w:rsid w:val="00922FF0"/>
    <w:rsid w:val="00960748"/>
    <w:rsid w:val="00AF236A"/>
    <w:rsid w:val="00B2758D"/>
    <w:rsid w:val="00C1676D"/>
    <w:rsid w:val="00CB50C1"/>
    <w:rsid w:val="00D64076"/>
    <w:rsid w:val="00D81B25"/>
    <w:rsid w:val="00F56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2018-06-05T22:54:00Z</dcterms:created>
  <dcterms:modified xsi:type="dcterms:W3CDTF">2018-06-05T22:54:00Z</dcterms:modified>
</cp:coreProperties>
</file>